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Проект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МЕТОДИКА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РАСЧЕТА НОРМАТИВОВ ДЛЯ ОПРЕДЕЛЕНИЯ ОБЩЕГО ОБЪЕМА СУБВЕНЦИЙ,</w:t>
      </w:r>
      <w:r>
        <w:rPr>
          <w:rFonts w:ascii="Times New Roman" w:hAnsi="Times New Roman" w:cs="Times New Roman"/>
          <w:b/>
          <w:bCs/>
          <w:sz w:val="25"/>
          <w:szCs w:val="25"/>
        </w:rPr>
      </w:r>
      <w:r>
        <w:rPr>
          <w:rFonts w:ascii="Times New Roman" w:hAnsi="Times New Roman" w:cs="Times New Roman"/>
          <w:b/>
          <w:bCs/>
          <w:sz w:val="25"/>
          <w:szCs w:val="25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ПРЕДОСТАВЛЯЕМЫХ МЕСТНЫМ БЮДЖЕТАМ ИЗ ОБЛАСТНОГО БЮДЖЕТА</w:t>
      </w:r>
      <w:r>
        <w:rPr>
          <w:rFonts w:ascii="Times New Roman" w:hAnsi="Times New Roman" w:cs="Times New Roman"/>
          <w:b/>
          <w:bCs/>
          <w:sz w:val="25"/>
          <w:szCs w:val="25"/>
        </w:rPr>
      </w:r>
      <w:r>
        <w:rPr>
          <w:rFonts w:ascii="Times New Roman" w:hAnsi="Times New Roman" w:cs="Times New Roman"/>
          <w:b/>
          <w:bCs/>
          <w:sz w:val="25"/>
          <w:szCs w:val="25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НОВОСИБИРСКОЙ ОБЛАСТИ ДЛЯ ОСУЩЕСТВЛЕНИЯ ОРГАНАМИ МЕСТНОГО</w:t>
      </w:r>
      <w:r>
        <w:rPr>
          <w:rFonts w:ascii="Times New Roman" w:hAnsi="Times New Roman" w:cs="Times New Roman"/>
          <w:b/>
          <w:bCs/>
          <w:sz w:val="25"/>
          <w:szCs w:val="25"/>
        </w:rPr>
      </w:r>
      <w:r>
        <w:rPr>
          <w:rFonts w:ascii="Times New Roman" w:hAnsi="Times New Roman" w:cs="Times New Roman"/>
          <w:b/>
          <w:bCs/>
          <w:sz w:val="25"/>
          <w:szCs w:val="25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b/>
          <w:bCs/>
          <w:sz w:val="25"/>
          <w:szCs w:val="25"/>
        </w:rPr>
        <w:t xml:space="preserve">САМОУПРАВЛЕНИЯ ОТДЕЛЬНЫХ ГОСУДАРСТВЕННЫХ ПОЛНОМОЧИЙ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НОВОСИБИРСКОЙ ОБЛАСТИ ПО ВОЗМЕЩЕНИЮ СПЕЦИАЛИЗИРОВАННОЙ СЛУЖБЕ ПО ВОПРОСАМ ПОХОРОННОГО ДЕЛА СТОИМОСТИ УСЛУГ, ПРЕДОСТАВЛЯЕМЫХ СОГЛАСНО ГАРАНТИРОВАННОМУ ПЕРЕЧНЮ УСЛУГ ПО ПОГРЕБЕНИЮ, ЕСЛИ УМЕРШИЙ НЕ ПОДЛЕЖАЛ ОБЯЗАТЕЛЬНОМУ СОЦИАЛЬНОМУ СТРА</w:t>
      </w:r>
      <w:r>
        <w:rPr>
          <w:rFonts w:ascii="Times New Roman" w:hAnsi="Times New Roman" w:cs="Times New Roman"/>
          <w:b/>
          <w:bCs/>
          <w:sz w:val="25"/>
          <w:szCs w:val="25"/>
        </w:rPr>
        <w:t xml:space="preserve">ХОВАНИЮ НА СЛУЧАЙ ВРЕМЕННОЙ НЕТРУДОСПОСОБНОСТИ И В СВЯЗИ С МАТЕРИНСТВОМ НА ДЕНЬ СМЕРТИ И НЕ ЯВЛЯЛСЯ ПЕНСИОНЕРОМ, В СЛУЧАЕ РОЖДЕНИЯ МЕРТВОГО РЕБЕНКА ПО ИСТЕЧЕНИИ 154 ДНЕЙ БЕРЕМЕННОСТИ, А ТАКЖЕ УМЕРШИХ, ЛИЧНОСТЬ КОТОРЫХ НЕ УСТАНОВЛЕНА ОРГАНАМИ ВНУТРЕННИХ ДЕЛ</w:t>
      </w:r>
      <w:r>
        <w:rPr>
          <w:rFonts w:ascii="Times New Roman" w:hAnsi="Times New Roman" w:cs="Times New Roman"/>
          <w:b/>
          <w:bCs/>
          <w:sz w:val="25"/>
          <w:szCs w:val="25"/>
        </w:rPr>
      </w:r>
      <w:r>
        <w:rPr>
          <w:rFonts w:ascii="Times New Roman" w:hAnsi="Times New Roman" w:cs="Times New Roman"/>
          <w:b/>
          <w:bCs/>
          <w:sz w:val="25"/>
          <w:szCs w:val="25"/>
        </w:rPr>
      </w:r>
    </w:p>
    <w:p>
      <w:pPr>
        <w:ind w:firstLine="540"/>
        <w:jc w:val="center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  <w:r>
        <w:rPr>
          <w:rFonts w:ascii="Arial" w:hAnsi="Arial" w:cs="Arial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Н</w:t>
      </w:r>
      <w:r>
        <w:rPr>
          <w:rFonts w:ascii="Times New Roman" w:hAnsi="Times New Roman" w:cs="Times New Roman"/>
          <w:sz w:val="28"/>
          <w:szCs w:val="28"/>
        </w:rPr>
        <w:t xml:space="preserve">астоящая Методика устанавливает порядок 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государственных по</w:t>
      </w:r>
      <w:r>
        <w:rPr>
          <w:rFonts w:ascii="Times New Roman" w:hAnsi="Times New Roman" w:cs="Times New Roman"/>
          <w:sz w:val="28"/>
          <w:szCs w:val="28"/>
        </w:rPr>
        <w:t xml:space="preserve">лномочий (далее - субвенции), и распределения указанных субвенций между муниципальными образованиями Новосибирской области (далее - муниципальные образования) в соответствии со статьей 140 Бюджетного кодекса Российской Федерации.</w:t>
      </w:r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субвенций, предоставляемых муниципальным образованиям на осуществление отдельных государственных полномочий (Ссуб) (далее - общий объем субвенций), рассчитывается по формуле (1):</w:t>
      </w:r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C </w:t>
      </w:r>
      <w:r>
        <w:rPr>
          <w:rFonts w:ascii="Times New Roman" w:hAnsi="Times New Roman" w:cs="Times New Roman"/>
          <w:sz w:val="28"/>
          <w:szCs w:val="28"/>
          <w:highlight w:val="none"/>
          <w:vertAlign w:val="subscript"/>
        </w:rPr>
        <w:t xml:space="preserve">суб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i/>
                <w:sz w:val="28"/>
                <w:szCs w:val="28"/>
                <w:highlight w:val="none"/>
              </w:rPr>
            </m:ctrlPr>
          </m:naryPr>
          <m:sub>
            <m:r>
              <w:rPr>
                <w:rFonts w:ascii="Cambria Math" w:hAnsi="Cambria Math" w:eastAsia="Cambria Math" w:cs="Cambria Math"/>
              </w:rPr>
              <m:rPr/>
              <m:t>i</m:t>
            </m:r>
            <m:r>
              <w:rPr>
                <w:rFonts w:ascii="Cambria Math" w:hAnsi="Cambria Math" w:eastAsia="Cambria Math" w:cs="Cambria Math"/>
              </w:rPr>
              <m:rPr/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sz w:val="28"/>
                <w:szCs w:val="28"/>
                <w:highlight w:val="none"/>
              </w:rPr>
              <m:rPr>
                <m:sty m:val="i"/>
              </m:rPr>
              <m:t>n</m:t>
            </m:r>
          </m:sup>
          <m:e>
            <m:r>
              <w:rPr>
                <w:rFonts w:ascii="Cambria Math" w:hAnsi="Cambria Math" w:eastAsia="Cambria Math" w:cs="Cambria Math"/>
              </w:rPr>
              <m:rPr/>
              <m:t>C</m:t>
            </m:r>
            <m:r>
              <w:rPr>
                <w:rFonts w:ascii="Cambria Math" w:hAnsi="Cambria Math" w:eastAsia="Cambria Math" w:cs="Cambria Math"/>
              </w:rPr>
              <m:rPr/>
              <m:t> </m:t>
            </m:r>
            <m:r>
              <w:rPr>
                <w:rFonts w:ascii="Cambria Math" w:hAnsi="Cambria Math" w:eastAsia="Cambria Math" w:cs="Cambria Math"/>
              </w:rPr>
              <m:rPr/>
              <m:t>субi</m:t>
            </m:r>
          </m:e>
        </m:nary>
      </m:oMath>
      <w:r>
        <w:rPr>
          <w:rFonts w:ascii="Times New Roman" w:hAnsi="Times New Roman" w:cs="Times New Roman"/>
          <w:sz w:val="28"/>
          <w:szCs w:val="28"/>
          <w:highlight w:val="none"/>
        </w:rPr>
        <w:t xml:space="preserve"> </w:t>
      </w:r>
      <w:r>
        <w:rPr>
          <w:rFonts w:ascii="Times New Roman" w:hAnsi="Times New Roman" w:cs="Times New Roman"/>
          <w:position w:val="-24"/>
          <w:sz w:val="28"/>
          <w:szCs w:val="28"/>
          <w:lang w:eastAsia="ru-RU"/>
        </w:rPr>
      </w:r>
      <w:r>
        <w:rPr>
          <w:rFonts w:ascii="Times New Roman" w:hAnsi="Times New Roman" w:cs="Times New Roman"/>
          <w:sz w:val="28"/>
          <w:szCs w:val="28"/>
        </w:rPr>
        <w:t xml:space="preserve"> (1), где: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  <w:r/>
    </w:p>
    <w:p>
      <w:pPr>
        <w:ind w:firstLine="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i - муниципальное образование;</w:t>
      </w:r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n - количество муниципальных образований;</w:t>
      </w:r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Ссубi - объем субвенции для осуществления отдельных государственных полномочий, предоставляемой бюджету i-го муниципального образования, определяемый по формуле (2):</w:t>
      </w:r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Ссубi = Чi x Qi (2), где:</w:t>
      </w:r>
      <w:r/>
    </w:p>
    <w:p>
      <w:pPr>
        <w:ind w:firstLine="540"/>
        <w:jc w:val="both"/>
        <w:spacing w:after="0" w:line="240" w:lineRule="auto"/>
      </w:pPr>
      <w:r/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</w:t>
      </w:r>
      <w:r>
        <w:rPr>
          <w:rFonts w:ascii="Times New Roman" w:hAnsi="Times New Roman" w:cs="Times New Roman"/>
          <w:sz w:val="28"/>
          <w:szCs w:val="28"/>
        </w:rPr>
        <w:t xml:space="preserve">i - численность умерших граждан, которые на день смерти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в случае рождения мертвого ребенка по исте</w:t>
      </w:r>
      <w:r>
        <w:rPr>
          <w:rFonts w:ascii="Times New Roman" w:hAnsi="Times New Roman" w:cs="Times New Roman"/>
          <w:sz w:val="28"/>
          <w:szCs w:val="28"/>
        </w:rPr>
        <w:t xml:space="preserve">ч</w:t>
      </w:r>
      <w:r>
        <w:rPr>
          <w:rFonts w:ascii="Times New Roman" w:hAnsi="Times New Roman" w:cs="Times New Roman"/>
          <w:sz w:val="28"/>
          <w:szCs w:val="28"/>
        </w:rPr>
        <w:t xml:space="preserve">ении 154 дней беременности, а также умерших, личность которых не установлена органами внутренних дел, в отношении которых осуществляется возмещение стоимости услуг по погребению специализированной службе по вопросам похоронного дела в i-ом муниципальном об</w:t>
      </w:r>
      <w:r>
        <w:rPr>
          <w:rFonts w:ascii="Times New Roman" w:hAnsi="Times New Roman" w:cs="Times New Roman"/>
          <w:sz w:val="28"/>
          <w:szCs w:val="28"/>
        </w:rPr>
        <w:t xml:space="preserve">разовании, </w:t>
      </w:r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прогнозируемая с учетом фактических данных о количестве погребений за предшествующий год;</w:t>
      </w:r>
      <w:r/>
      <w:r/>
    </w:p>
    <w:p>
      <w:pPr>
        <w:ind w:firstLine="540"/>
        <w:jc w:val="both"/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 xml:space="preserve">Qi - стоимость услуг, предоставляемых согласно гарантированному перечню услуг по погребению, определенная органами местного самоуправления в i-ом муниципальном образовании, подлежащая возмещению специализированной службе по вопросам похоронного дела.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Размер выделяемой субвенции муниципальным образованиям подлежит уточнению в течение финансового года в случае наличия дополнительной потребности в субвенции у муниципальных образований.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Первый заместитель министра                                                                 Е.М. Москалева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0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567" w:right="567" w:bottom="1440" w:left="1134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Segoe UI">
    <w:panose1 w:val="020B0502040504020204"/>
  </w:font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37">
    <w:name w:val="Balloon Text"/>
    <w:basedOn w:val="832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833"/>
    <w:link w:val="83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Елена Анатольевна</dc:creator>
  <cp:keywords/>
  <dc:description/>
  <cp:revision>35</cp:revision>
  <dcterms:created xsi:type="dcterms:W3CDTF">2022-07-29T07:54:00Z</dcterms:created>
  <dcterms:modified xsi:type="dcterms:W3CDTF">2025-10-17T07:13:49Z</dcterms:modified>
</cp:coreProperties>
</file>